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4" w:name="_GoBack"/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关于区本级2020年度财政支出绩效评价工作情况的报告</w:t>
      </w:r>
    </w:p>
    <w:bookmarkEnd w:id="4"/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党的十九大提出建立规范透明、标准科学、约束有力的预算制度，全面实施绩效管理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的要求，近年来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我局高度重视，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积极部署，不断完善机制，强化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保障措施，提升了预算绩效管理水平，初步建立了绩效目标、绩效跟踪监控、绩效评价、结果应用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全面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闭环机制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为提高财政资金使用效益，确保更加精准地把钱花在“刀刃”上，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今年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我局充分发挥绩效评价作用，组织55家一级预算单位进行绩效自评，其中30万元以上项目51个，涉及评价金额12895万元；组织第三方机构对4个项目1个整体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进行重点绩效评价，涉及金额4476.73万元。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现将第三方重点绩效评价项目要点分析情况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如下,其中所涉及的项目实施情况、存在的问题和建议等主要内容及原始数据，均摘自第三方出具的重点绩效评价报告书。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评一：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云溪区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融媒体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中心20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度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整体支出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绩效评价得分86.4分，等级为“良好”。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一、项目主要绩效结论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区融媒体中心为提升区级媒体的传播力、引导力、影响力、公信力等方面发挥了重要作用。较好地完成了区领导交给的工作考核目标任务，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打造出的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优秀作品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在《人民日报》《湖南日报》《岳阳日报》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《人民网》、《新华网》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等主流媒体刊登，在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央视新闻、湖南卫视、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湖南经视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联播，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提升了云溪的知名度及美誉度，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延伸新闻宣传的覆盖面和影响力，</w:t>
      </w:r>
      <w:r>
        <w:rPr>
          <w:rFonts w:hint="eastAsia" w:ascii="仿宋" w:hAnsi="仿宋" w:eastAsia="仿宋" w:cs="仿宋"/>
          <w:sz w:val="32"/>
          <w:szCs w:val="32"/>
        </w:rPr>
        <w:t>巩固壮大主流思想舆论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特别是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区融媒体中心建成，成为岳阳市首家融媒体中心，对全市乃至全省具有示范引领作用。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二、部门整体收支完成情况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1、收入：2019年财务帐面收入638.61万元，包括：财政拨款预算收入605.78万元、事业预算收入32.83万元（单位其他资金来源收入财政返回预算）。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支出：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2019年财务帐面事业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493.47万元，包括：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基本支出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321.25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172.22万元,万元。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结转结存情况：2019年预算结存145.14万元；上年结转44.89万元，至2019年末累计结存190.03万元。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应付未付项目合同款176.58万元。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1、预算调整过大。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年初预算批复142.83万元，追加预算495.78万元，预算调整率77.63%。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2、部分支出超预算及预算范围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。一是部分支出超预算。商品和服务支出超预算14.85万元。二是部分支出超预算范围。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3、项目经费未专帐核算、专款专用。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4、部分会计科目核算不准确、不规范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。一是工会经费核算不准确、不规范，二是福利费核算不准确，三是部分支出凭证附件不合规。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5、存在部分合同支付无正式验收手续的现象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。一是区融媒体中心建设未办理竣工验收已交付使用；二是个别合同支付无验收或验收资料。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四、评价结果应用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1、查清错帐资金情况，做到帐帐、帐款、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帐实相符。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增强预算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意识，严格预算支出管理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3、加快办理区融媒体中心建设竣工验收手续。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评二：区行政审批服务局异地搬迁项目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绩效评定</w:t>
      </w:r>
      <w:r>
        <w:rPr>
          <w:rFonts w:hint="eastAsia" w:ascii="仿宋" w:hAnsi="仿宋" w:eastAsia="仿宋" w:cs="仿宋"/>
          <w:bCs/>
          <w:sz w:val="32"/>
          <w:szCs w:val="32"/>
        </w:rPr>
        <w:t>得分8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分，等级为“良”。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一、项目主要绩效结论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</w:rPr>
      </w:pPr>
      <w:bookmarkStart w:id="0" w:name="_Toc32023"/>
      <w:bookmarkStart w:id="1" w:name="_Toc1318"/>
      <w:r>
        <w:rPr>
          <w:rFonts w:hint="eastAsia" w:ascii="仿宋" w:hAnsi="仿宋" w:eastAsia="仿宋" w:cs="仿宋"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Cs/>
          <w:sz w:val="32"/>
          <w:szCs w:val="32"/>
        </w:rPr>
        <w:instrText xml:space="preserve"> HYPERLINK \l _Toc2917 </w:instrText>
      </w:r>
      <w:r>
        <w:rPr>
          <w:rFonts w:hint="eastAsia" w:ascii="仿宋" w:hAnsi="仿宋" w:eastAsia="仿宋" w:cs="仿宋"/>
          <w:bCs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Cs/>
          <w:sz w:val="32"/>
          <w:szCs w:val="32"/>
        </w:rPr>
        <w:t>让人民群众享受到“互联网+政务服务”的发展成果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Cs/>
          <w:sz w:val="32"/>
          <w:szCs w:val="32"/>
        </w:rPr>
        <w:instrText xml:space="preserve"> HYPERLINK \l _Toc24537 </w:instrText>
      </w:r>
      <w:r>
        <w:rPr>
          <w:rFonts w:hint="eastAsia" w:ascii="仿宋" w:hAnsi="仿宋" w:eastAsia="仿宋" w:cs="仿宋"/>
          <w:bCs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Cs/>
          <w:sz w:val="32"/>
          <w:szCs w:val="32"/>
        </w:rPr>
        <w:t>营造了舒适便捷的服务环境和工作条件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Cs/>
          <w:sz w:val="32"/>
          <w:szCs w:val="32"/>
        </w:rPr>
        <w:instrText xml:space="preserve"> HYPERLINK \l _Toc17187 </w:instrText>
      </w:r>
      <w:r>
        <w:rPr>
          <w:rFonts w:hint="eastAsia" w:ascii="仿宋" w:hAnsi="仿宋" w:eastAsia="仿宋" w:cs="仿宋"/>
          <w:bCs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Cs/>
          <w:sz w:val="32"/>
          <w:szCs w:val="32"/>
        </w:rPr>
        <w:t>改进了工作作风，提高了服务质量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Cs/>
          <w:sz w:val="32"/>
          <w:szCs w:val="32"/>
        </w:rPr>
        <w:instrText xml:space="preserve"> HYPERLINK \l _Toc13168 </w:instrText>
      </w:r>
      <w:r>
        <w:rPr>
          <w:rFonts w:hint="eastAsia" w:ascii="仿宋" w:hAnsi="仿宋" w:eastAsia="仿宋" w:cs="仿宋"/>
          <w:bCs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Cs/>
          <w:sz w:val="32"/>
          <w:szCs w:val="32"/>
        </w:rPr>
        <w:t>实现政务公开，有效的防止腐败发生。</w:t>
      </w:r>
      <w:r>
        <w:rPr>
          <w:rFonts w:hint="eastAsia" w:ascii="仿宋" w:hAnsi="仿宋" w:eastAsia="仿宋" w:cs="仿宋"/>
          <w:bCs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textAlignment w:val="auto"/>
        <w:outlineLvl w:val="2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项目建设主要内容</w:t>
      </w:r>
      <w:bookmarkEnd w:id="0"/>
      <w:bookmarkEnd w:id="1"/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bookmarkStart w:id="2" w:name="_Toc1884"/>
      <w:bookmarkStart w:id="3" w:name="_Toc17451"/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根据立项批复，工程建设主要内容及规模：一二层总建筑面积为3714.47平方米，主要对地面工程、墙面工程,顶面工程等进行改造，建设“互联网+政务服务”信息化系统和消防及空调新风系统。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根据预算批复，增加“互联网+政务服务”信息化建设电气工程（增加空调专用线、备用电源部分）。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textAlignment w:val="auto"/>
        <w:outlineLvl w:val="2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资金总体情况</w:t>
      </w:r>
      <w:bookmarkEnd w:id="2"/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立项</w:t>
      </w:r>
      <w:r>
        <w:rPr>
          <w:rFonts w:hint="eastAsia" w:ascii="仿宋" w:hAnsi="仿宋" w:eastAsia="仿宋" w:cs="仿宋"/>
          <w:bCs/>
          <w:sz w:val="32"/>
          <w:szCs w:val="32"/>
        </w:rPr>
        <w:t>940万元，财政评审金额908.9万元。至2019年末，区财政资金到帐1044.04万元；财务帐面项目支出总额876.94万元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预算内子项目支出645.03万元，预算外支出231.9万元）到帐</w:t>
      </w:r>
      <w:r>
        <w:rPr>
          <w:rFonts w:hint="eastAsia" w:ascii="仿宋" w:hAnsi="仿宋" w:eastAsia="仿宋" w:cs="仿宋"/>
          <w:bCs/>
          <w:sz w:val="32"/>
          <w:szCs w:val="32"/>
        </w:rPr>
        <w:t>资金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帐面</w:t>
      </w:r>
      <w:r>
        <w:rPr>
          <w:rFonts w:hint="eastAsia" w:ascii="仿宋" w:hAnsi="仿宋" w:eastAsia="仿宋" w:cs="仿宋"/>
          <w:bCs/>
          <w:sz w:val="32"/>
          <w:szCs w:val="32"/>
        </w:rPr>
        <w:t>结余167.1万元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2020年1-6月帐面支付73.21万元（其中预算内合同款62.96万元）帐面项目资金累计结余93.89万元。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2019年预算内结余399.01万元，扣除</w:t>
      </w:r>
      <w:r>
        <w:rPr>
          <w:rFonts w:hint="eastAsia" w:ascii="仿宋" w:hAnsi="仿宋" w:eastAsia="仿宋" w:cs="仿宋"/>
          <w:bCs/>
          <w:sz w:val="32"/>
          <w:szCs w:val="32"/>
        </w:rPr>
        <w:t>应付未付项目预算内合同金额185.58万元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,2019年预算内实际到帐资金结余213.43万元。至2020年6月到帐资金结余（预算内）结余150.47万。</w:t>
      </w:r>
    </w:p>
    <w:p>
      <w:pPr>
        <w:pStyle w:val="2"/>
        <w:numPr>
          <w:ilvl w:val="0"/>
          <w:numId w:val="0"/>
        </w:numPr>
        <w:ind w:leftChars="200" w:firstLine="320" w:firstLineChars="1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四、存在问题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Cs/>
          <w:sz w:val="32"/>
          <w:szCs w:val="32"/>
        </w:rPr>
        <w:instrText xml:space="preserve"> HYPERLINK \l _Toc27359 </w:instrText>
      </w:r>
      <w:r>
        <w:rPr>
          <w:rFonts w:hint="eastAsia" w:ascii="仿宋" w:hAnsi="仿宋" w:eastAsia="仿宋" w:cs="仿宋"/>
          <w:bCs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项目过程管理方面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instrText xml:space="preserve"> HYPERLINK \l _Toc24822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项目变更未办理相关手续。增加“互联网+政务服务”信息化建设电气施工预算37.95万元未报区发改局审核。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instrText xml:space="preserve"> HYPERLINK \l _Toc30403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未办理竣工决算手续，提前交付使用。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instrText xml:space="preserve"> HYPERLINK \l _Toc13906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项目规划设计不完整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不利于预算管理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outlineLvl w:val="1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2、项目资金管理方面：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项目支出超预算范围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项目设计、监理、咨询报告等公用经费纳入项目核算，超预算范围，挤占了项目经费。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超预算支出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财评金额908.9万元，至2019年末，财务帐面共支出876.94万元，但项目尚有应付未付合同款191.36万元，项目支出应为1068.3万元，超过财评审定金额159.4万元。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   3、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项目产出方面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</w:rPr>
        <w:t>项目合同完成时效滞后。个别任务未完成（暂未与绿色化工园企业服务中心、镇村两级便民服务平台对接融合）。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项目绩效方面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：一是</w:t>
      </w:r>
      <w:r>
        <w:rPr>
          <w:rFonts w:hint="eastAsia" w:ascii="仿宋" w:hAnsi="仿宋" w:eastAsia="仿宋" w:cs="仿宋"/>
          <w:bCs/>
          <w:sz w:val="32"/>
          <w:szCs w:val="32"/>
        </w:rPr>
        <w:t>审批专网无法实现互联互通信息共享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</w:rPr>
        <w:t>部门单位及事项进驻不彻底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评价结果应用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、加快办理终审及竣工决算手续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、加强对项目规划设计，控制好项目建设总规模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、加强预算管理，强化预算约束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、加快工作进度，完成目标任务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5、加强统筹协调，坚决落实应进尽进要求；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bC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000000" w:themeColor="text1"/>
          <w:kern w:val="2"/>
          <w:sz w:val="32"/>
          <w:szCs w:val="32"/>
          <w:lang w:val="en-US" w:eastAsia="zh-CN" w:bidi="ar-SA"/>
        </w:rPr>
        <w:t>6、加强网络建设，推动线上线下集成融合。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bCs/>
          <w:color w:val="000000" w:themeColor="text1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评三：云溪区云溪街道八一村管网延伸工程项目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经评定，该项目得分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分，等级评定为“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良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绩效结论</w:t>
      </w:r>
    </w:p>
    <w:p>
      <w:pPr>
        <w:spacing w:line="540" w:lineRule="exact"/>
        <w:ind w:firstLine="640" w:firstLineChars="200"/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改善了人民群众的生活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饮水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条件和健康状况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增强农村经济社会发展能力，促进乡镇区域经济的发展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推动农村生活环境的改善，居民满意度全面上升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密切了党群干群关系，促进了农村社会和谐。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二、项目基本情况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云溪区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农村饮水安全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工程建设项目包括桃李村、建军村、八一村、建设村。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本工程经云溪区水利局、云溪街道办事处、八一村、设计单位工作人员实地调查结合当地村民意愿，改造水源单一的问题。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八一村共有24个村民小组，934户3778人。本项目主要对八一村18个村组2942人（含光荣院200人、村部20人、八一学校220人、崔家、付塘、曾家、王冲、孙李、孙闾、朱冲、上门、老屋、老马、牌楼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碰通主管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并水改到户的供水需求）采取管网延伸方式接云溪区城市供水管理站双花水厂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出厂水</w:t>
      </w:r>
      <w:r>
        <w:rPr>
          <w:rFonts w:hint="eastAsia" w:ascii="仿宋" w:hAnsi="仿宋" w:eastAsia="仿宋" w:cs="仿宋"/>
          <w:b w:val="0"/>
          <w:bCs/>
          <w:color w:val="FF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工程设计规模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136.77m³/d（考虑预留为454.74 m³/d），工程设计年限15年，该项目仅包括配水工程一个部分，通过闸阀取用管道输送水延伸管网向用户供水。</w:t>
      </w:r>
    </w:p>
    <w:p>
      <w:pPr>
        <w:pStyle w:val="9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资金总体情况</w:t>
      </w:r>
    </w:p>
    <w:p>
      <w:pPr>
        <w:pStyle w:val="9"/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1、立项投资规模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及财评情况。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云溪区发改委批复立项，项目工程估算总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投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资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462.47万元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资金来源为自筹。云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溪区财政投资评审中心审定项目预算金额为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363.598万元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。</w:t>
      </w:r>
    </w:p>
    <w:p>
      <w:pPr>
        <w:pStyle w:val="9"/>
        <w:numPr>
          <w:ilvl w:val="0"/>
          <w:numId w:val="0"/>
        </w:numPr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资金投入及到帐情况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项目已投入312万元，其中：区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财政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拨付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扶贫资金到账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100万元、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云溪街道自有财政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资金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投入212万元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pStyle w:val="9"/>
        <w:numPr>
          <w:ilvl w:val="0"/>
          <w:numId w:val="0"/>
        </w:numPr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资金使用情况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至2020年8月，项目共支出312万元，均为项目工程建设合同款，其中：2019年支出项目工程进度款197万元，2020年支出项目工程进度款115万元；区财政扶贫资金支付100万元，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云溪街道办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自筹资金支付212万元。</w:t>
      </w:r>
    </w:p>
    <w:p>
      <w:pPr>
        <w:pStyle w:val="9"/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、合同签订与支付情况</w:t>
      </w:r>
    </w:p>
    <w:p>
      <w:pPr>
        <w:pStyle w:val="9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至2020年8月末，项目独立签订合同2个，合同金额344.28万元，应付未付合同款32.28万元。</w:t>
      </w:r>
    </w:p>
    <w:p>
      <w:pPr>
        <w:pStyle w:val="2"/>
        <w:numPr>
          <w:ilvl w:val="0"/>
          <w:numId w:val="3"/>
        </w:numPr>
        <w:ind w:firstLine="640" w:firstLineChars="200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</w:rPr>
        <w:t>存在的问题</w:t>
      </w:r>
    </w:p>
    <w:p>
      <w:pPr>
        <w:numPr>
          <w:ilvl w:val="0"/>
          <w:numId w:val="0"/>
        </w:numPr>
        <w:spacing w:line="540" w:lineRule="exact"/>
        <w:ind w:firstLine="643" w:firstLineChars="200"/>
        <w:outlineLvl w:val="1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1、项目管理方面。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一是未办理竣工验收，提前办理了完工结算书。二是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项目完工后未及时进行验收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交付使用。</w:t>
      </w:r>
    </w:p>
    <w:p>
      <w:pPr>
        <w:numPr>
          <w:ilvl w:val="0"/>
          <w:numId w:val="0"/>
        </w:numPr>
        <w:spacing w:line="540" w:lineRule="exact"/>
        <w:ind w:firstLine="643" w:firstLineChars="200"/>
        <w:outlineLvl w:val="1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2、资金管理方面。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资金支付未按合同履约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根据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施工合同协议书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约定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本工程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预付款为合同总价20%，按月进度工程量支付80%，竣工验收审计后支付工程总量的95%，质量保证期一年后支付质保金5%。但在实际支付中，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至2020年1月16日止，已支付工程款312万元，已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lang w:val="en-US" w:eastAsia="zh-CN"/>
        </w:rPr>
        <w:t>支付总合同价款89.71%、支付结算书金额93.72%；但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项目验收为2020年9月8日，提前多付合同款约10%。</w:t>
      </w:r>
    </w:p>
    <w:p>
      <w:pPr>
        <w:numPr>
          <w:ilvl w:val="0"/>
          <w:numId w:val="0"/>
        </w:numPr>
        <w:spacing w:line="540" w:lineRule="exact"/>
        <w:ind w:firstLine="643" w:firstLineChars="200"/>
        <w:outlineLvl w:val="1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3、项目产出及效果方面。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一是部分工程未按合同要求开挖回填。二是供水率未达到100%。（原因：一是部分村民认为自来水价格较高（3.38/吨，自来水城市统一价）；二是自己原有取井水设备还可以使用；三是因有取井水设备的原因所以自来水尚未接通到户。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评价结果应用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1、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及时办理水质检测合格证明文件。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2、对部分工程未按合同要求开挖回填的问题处理进行处理。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  <w:t>3、加大宣传力度，提升项目实施效果。</w:t>
      </w:r>
    </w:p>
    <w:p>
      <w:pPr>
        <w:numPr>
          <w:ilvl w:val="0"/>
          <w:numId w:val="0"/>
        </w:numPr>
        <w:spacing w:line="540" w:lineRule="exact"/>
        <w:ind w:firstLine="640" w:firstLineChars="200"/>
        <w:outlineLvl w:val="1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4、加强财务核算，加强对项目资金管理。</w:t>
      </w:r>
    </w:p>
    <w:p>
      <w:pPr>
        <w:numPr>
          <w:ilvl w:val="0"/>
          <w:numId w:val="0"/>
        </w:numPr>
        <w:spacing w:line="540" w:lineRule="exact"/>
        <w:ind w:firstLine="640" w:firstLineChars="200"/>
        <w:outlineLvl w:val="1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5、加强工程维护与管理。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评四：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</w:rPr>
        <w:t>岳阳市云溪区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</w:rPr>
        <w:t>2019年粮食储备费用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绩效评价得分77分，等级为“中”。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一、项目主要绩效结论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2019年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度，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完成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了云溪区政府下达的5000吨区级储备粮规模的任务，完成轮出轮入优质晚籼稻新粮2360吨，且未产生价差损失，为企业节约成本；大部分质量指标符合区政府要求的国家标准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，保证了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云溪区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粮食市场的有序交易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有计划的合理出库和入库，减少恶性竞争，减轻了财政和储备企业负担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确保区级储备粮储得进、管得好、调得动、用得上，具有良好社会效益及经济效益。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项目基本情况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按照《岳阳市云溪区区级储备粮管理办法》，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区级粮食储备费用主要保证支付区级储备粮在收购、销售、轮换过程中发生的的贷款利息、保管和轮换费用、价差损失、正常损失损耗等。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三、资金总体情况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2019区财政投入区级储备粮包干费用200万元，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帐面支出共计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244.49万元，财政拨入资金结余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-44.49万元。经审核，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帐面实际支出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207.49万元（剔除37万元未发生轮换费用。此费用虽在本年度未发生，但存在不确定性，建议应视实际发生情况确定），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实际符合项目范围支出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142.41万元，用于其他支出经费65.08万元。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四、存在的问题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粮食储备费用支出超范围。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惠新米业粮食储备费用支出207.49万元中，有65.08万元超粮食储备费用支出范围(用于职工工资43.72万元;在维修费用中支付简易仓库、办公楼、家属楼维修等非储备粮仓库维修费用21.36万元。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2、轮换销售价差分摊成本核算不准确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。根据惠新米业提供给区商务粮食局《2019年粮食储备费用使用明细表》，2019年支出中分摊轮换销售价差37万元，经审核，2019年购进与销售价均为每公斤2.4元，2019年惠新米业财务报表也无轮换销售价差损失，成本核算不准确，未真实反映当年成本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3、惠鑫米业没有专户存储区级轮换储备粮风险准备金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。惠鑫米业未按要求将定额包干补贴的12.5%，即25万元存入在农发行云溪支行开立的专用帐户中，用于弥补地方储备粮轮换过程中因市场发生重大变化、正常轮换费用不足而形成的亏损。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4、未与承储企业签订承储合同。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相关单位未与惠鑫米业签订承储合同，明确双方权利、义务的违约责任。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评价结果应用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建议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1、加强监管，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保证广大人民群众吃得放心、安心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2、改变费用包干方式，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亏由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财政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兜底。建议参照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周边县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市（区）的作法，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区级储备粮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费用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不采取包干形式，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更好地适应粮食市场新形势新变化，提高粮食安全保障程度，确保区级储备粮储得好、调得动、用得上，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加强监管，实现资金专款专用，节约预算成本。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3、专项资金实行专款专用。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4、按要求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专户存储区级轮换储备粮风险准备金。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5、加强轮入轮出储备粮质量监管。</w:t>
      </w:r>
    </w:p>
    <w:p>
      <w:pPr>
        <w:spacing w:line="120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评五：云溪区妇幼保健计划生育服务中心异地迁建项目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经评定，该项目得分72分，等级评定为“中”。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highlight w:val="yellow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绩效结论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该项目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贯彻落实党和国家方针政策，实现医疗资源的整合与共享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基础设施更新，提高本区妇幼保健和计划生育服务的服务能力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有利于维护社会稳定、提高入民生活水平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改善了就诊和住院条件，也改善了员工的工作条件。</w:t>
      </w:r>
    </w:p>
    <w:p>
      <w:pPr>
        <w:pStyle w:val="9"/>
        <w:spacing w:before="0" w:beforeAutospacing="0" w:after="0" w:afterAutospacing="0"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项目主要内容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bCs/>
          <w:sz w:val="32"/>
          <w:szCs w:val="32"/>
        </w:rPr>
        <w:t>总建筑面积7736平方米，其中新建面积3200㎡、改造面积4536平方米；拆除原有建筑面积1872.45㎡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bCs/>
          <w:sz w:val="32"/>
          <w:szCs w:val="32"/>
        </w:rPr>
        <w:t>计划新建孕产保健楼3号楼及附属配套道路广场、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地面停车场、绿地等其他变配电、给排水、消防、通风空调等公用工程。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kern w:val="0"/>
          <w:sz w:val="32"/>
          <w:szCs w:val="32"/>
        </w:rPr>
        <w:t>计划完成</w:t>
      </w:r>
      <w:r>
        <w:rPr>
          <w:rFonts w:hint="eastAsia" w:ascii="仿宋" w:hAnsi="仿宋" w:eastAsia="仿宋" w:cs="仿宋"/>
          <w:bCs/>
          <w:sz w:val="32"/>
          <w:szCs w:val="32"/>
        </w:rPr>
        <w:t>妇女保健楼（1#楼）、儿童保健楼（2#楼）装饰装修工程。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（4）</w:t>
      </w:r>
      <w:r>
        <w:rPr>
          <w:rFonts w:hint="eastAsia" w:ascii="仿宋" w:hAnsi="仿宋" w:eastAsia="仿宋" w:cs="仿宋"/>
          <w:bCs/>
          <w:sz w:val="32"/>
          <w:szCs w:val="32"/>
        </w:rPr>
        <w:t>是设置床位数80张，人员岗位数125个，卫生技术人员配备人数100名（总人数的80%）；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5）</w:t>
      </w:r>
      <w:r>
        <w:rPr>
          <w:rFonts w:hint="eastAsia" w:ascii="仿宋" w:hAnsi="仿宋" w:eastAsia="仿宋" w:cs="仿宋"/>
          <w:bCs/>
          <w:sz w:val="32"/>
          <w:szCs w:val="32"/>
        </w:rPr>
        <w:t>新院设计“四部一中心”即：孕产保健部、妇女保健部、儿童保健部、计划生育技术服务部及体检中心。</w:t>
      </w:r>
    </w:p>
    <w:p>
      <w:pPr>
        <w:pStyle w:val="9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资金总体情况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项目投资估算2200万元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财政预算2200万元、自筹200万元）</w:t>
      </w:r>
      <w:r>
        <w:rPr>
          <w:rFonts w:hint="eastAsia" w:ascii="仿宋" w:hAnsi="仿宋" w:eastAsia="仿宋" w:cs="仿宋"/>
          <w:bCs/>
          <w:sz w:val="32"/>
          <w:szCs w:val="32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财政评审金额1843.94万元；</w:t>
      </w:r>
      <w:r>
        <w:rPr>
          <w:rFonts w:hint="eastAsia" w:ascii="仿宋" w:hAnsi="仿宋" w:eastAsia="仿宋" w:cs="仿宋"/>
          <w:bCs/>
          <w:sz w:val="32"/>
          <w:szCs w:val="32"/>
        </w:rPr>
        <w:t>至2020年6月末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，服务中心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收到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财政预算资金1870万元（其中向区卫健局借支项目预算经费100万元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；财务帐面项目支出总额1748.88万元，其中：预算批复内支付1414.26万元、预算外资金支出（自筹部分及其他支出）334.62万元；预算内财政已到帐资金结余455.74万元，预算内项目资金应付未付（合同款）266.18万元。</w:t>
      </w:r>
    </w:p>
    <w:p>
      <w:pPr>
        <w:spacing w:line="540" w:lineRule="exact"/>
        <w:ind w:firstLine="640" w:firstLineChars="200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存在问题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sz w:val="32"/>
          <w:szCs w:val="32"/>
        </w:rPr>
        <w:t>项目管理方面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项目立项面积变更未办理审批手续。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存在消防安全隐患。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未竣工验收，提前交付使用。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、预算及财务资金管理方面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项目专项资金未专帐核算，挤占项目资金334.62万元。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超预算范围支出59.59万元。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帐务处理不及时，报表未及时编制。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四是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调帐无相关领导签字。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项目产出及效果方面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未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按计划时效完成项目建设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未按计划完成目标任务。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投入与产出不匹配，项目使用效益不明显。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项目效果重视程度有待加强。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评价结果应用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、及时整改，尽快进行消防验收。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、加强预算管理，增强预算管理意识。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、重视本院职工意见，积极进行整改。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、强化制度建设，创新管理服务模式。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Cs/>
          <w:sz w:val="32"/>
          <w:szCs w:val="32"/>
        </w:rPr>
        <w:t>加快孕产楼装修装饰进度，尽快交付使用。</w:t>
      </w:r>
    </w:p>
    <w:p>
      <w:pPr>
        <w:pStyle w:val="2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附：2019年度财政支出重点绩效评价项目情况表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　岳阳市云溪区财政局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 xml:space="preserve">     </w:t>
      </w:r>
      <w:r>
        <w:rPr>
          <w:rFonts w:hint="eastAsia" w:ascii="仿宋" w:hAnsi="仿宋" w:eastAsia="仿宋" w:cs="仿宋"/>
          <w:bCs/>
          <w:color w:val="000000" w:themeColor="text1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2020年12月7日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contextualSpacing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contextualSpacing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2019年度财政支出重点绩效评价项目情况表</w:t>
      </w:r>
    </w:p>
    <w:tbl>
      <w:tblPr>
        <w:tblStyle w:val="11"/>
        <w:tblpPr w:leftFromText="180" w:rightFromText="180" w:vertAnchor="text" w:horzAnchor="page" w:tblpX="1935" w:tblpY="622"/>
        <w:tblOverlap w:val="never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3210"/>
        <w:gridCol w:w="2085"/>
        <w:gridCol w:w="1324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重点绩效评价项目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报告编号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项目资金（万元）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评价分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区融媒体中心整体支出</w:t>
            </w: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湘恒兴专审字（2020）第045号 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638.61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区行政审批服务局异地搬迁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湘恒兴专审字（2020）第043号 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1044.04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云溪区云溪街道八一村管网延伸工程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湘恒兴专审字（2020）第047号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区商务粮食局粮食储备费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湘恒兴专审字（2020）第046号 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区卫生健康局妇幼保健计划生育服务中心异地迁建项目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湘恒兴专审字（2020）第044号 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1870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98A64F"/>
    <w:multiLevelType w:val="singleLevel"/>
    <w:tmpl w:val="8898A64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0BFB435"/>
    <w:multiLevelType w:val="singleLevel"/>
    <w:tmpl w:val="A0BFB43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4F4AE8C"/>
    <w:multiLevelType w:val="singleLevel"/>
    <w:tmpl w:val="B4F4AE8C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0A21FF26"/>
    <w:multiLevelType w:val="singleLevel"/>
    <w:tmpl w:val="0A21FF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A7DE0F9"/>
    <w:multiLevelType w:val="singleLevel"/>
    <w:tmpl w:val="4A7DE0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BCE"/>
    <w:rsid w:val="0003090E"/>
    <w:rsid w:val="00042E99"/>
    <w:rsid w:val="000464AB"/>
    <w:rsid w:val="00060F5F"/>
    <w:rsid w:val="00123B98"/>
    <w:rsid w:val="00310BCE"/>
    <w:rsid w:val="003E3032"/>
    <w:rsid w:val="003F47F8"/>
    <w:rsid w:val="003F7FC3"/>
    <w:rsid w:val="008707B1"/>
    <w:rsid w:val="009F0C0C"/>
    <w:rsid w:val="00D846F2"/>
    <w:rsid w:val="00F66E6A"/>
    <w:rsid w:val="010571BA"/>
    <w:rsid w:val="0145296F"/>
    <w:rsid w:val="019E7B9F"/>
    <w:rsid w:val="021D3DE1"/>
    <w:rsid w:val="02526C3B"/>
    <w:rsid w:val="02762085"/>
    <w:rsid w:val="02D21259"/>
    <w:rsid w:val="043B560B"/>
    <w:rsid w:val="04860BAD"/>
    <w:rsid w:val="04C27F9A"/>
    <w:rsid w:val="04EA56D1"/>
    <w:rsid w:val="05161846"/>
    <w:rsid w:val="06476253"/>
    <w:rsid w:val="06B52E73"/>
    <w:rsid w:val="073765DB"/>
    <w:rsid w:val="077D5930"/>
    <w:rsid w:val="08B505B4"/>
    <w:rsid w:val="08B82BB5"/>
    <w:rsid w:val="08F93F7F"/>
    <w:rsid w:val="0944046E"/>
    <w:rsid w:val="09BC1481"/>
    <w:rsid w:val="0A2408C3"/>
    <w:rsid w:val="0A615918"/>
    <w:rsid w:val="0A850AA9"/>
    <w:rsid w:val="0BD4269C"/>
    <w:rsid w:val="0C1B5C92"/>
    <w:rsid w:val="0C6943B8"/>
    <w:rsid w:val="0D1A01FB"/>
    <w:rsid w:val="0D1C0853"/>
    <w:rsid w:val="0D536AED"/>
    <w:rsid w:val="0D6B0398"/>
    <w:rsid w:val="0D9D26DF"/>
    <w:rsid w:val="0DFD5C30"/>
    <w:rsid w:val="0EA869A7"/>
    <w:rsid w:val="0EC15689"/>
    <w:rsid w:val="0F2466E1"/>
    <w:rsid w:val="0F880298"/>
    <w:rsid w:val="10054E57"/>
    <w:rsid w:val="102A4933"/>
    <w:rsid w:val="10E30CC5"/>
    <w:rsid w:val="1171293F"/>
    <w:rsid w:val="11AD7F85"/>
    <w:rsid w:val="11D14EE7"/>
    <w:rsid w:val="13591328"/>
    <w:rsid w:val="13D822E4"/>
    <w:rsid w:val="14510C73"/>
    <w:rsid w:val="14F14BDE"/>
    <w:rsid w:val="15E73603"/>
    <w:rsid w:val="161A394C"/>
    <w:rsid w:val="161E74E5"/>
    <w:rsid w:val="16A9259C"/>
    <w:rsid w:val="198C31A9"/>
    <w:rsid w:val="1AA27C74"/>
    <w:rsid w:val="1B7514C6"/>
    <w:rsid w:val="1C6056C0"/>
    <w:rsid w:val="1C7B2219"/>
    <w:rsid w:val="1D7631A9"/>
    <w:rsid w:val="1F353A35"/>
    <w:rsid w:val="1F6A1B70"/>
    <w:rsid w:val="1FBC4128"/>
    <w:rsid w:val="20DD715D"/>
    <w:rsid w:val="20ED5450"/>
    <w:rsid w:val="20F823CD"/>
    <w:rsid w:val="22326586"/>
    <w:rsid w:val="2243519B"/>
    <w:rsid w:val="235067E9"/>
    <w:rsid w:val="24ED106B"/>
    <w:rsid w:val="24FF01A5"/>
    <w:rsid w:val="27EB6940"/>
    <w:rsid w:val="2909002F"/>
    <w:rsid w:val="292B0738"/>
    <w:rsid w:val="2AC53C48"/>
    <w:rsid w:val="2B0424BD"/>
    <w:rsid w:val="2BD77B7C"/>
    <w:rsid w:val="2C927268"/>
    <w:rsid w:val="2D2C4831"/>
    <w:rsid w:val="2DA84216"/>
    <w:rsid w:val="303E4FB3"/>
    <w:rsid w:val="31B3324D"/>
    <w:rsid w:val="32150DDF"/>
    <w:rsid w:val="32562FB8"/>
    <w:rsid w:val="32710C3A"/>
    <w:rsid w:val="32B020FE"/>
    <w:rsid w:val="33A37CE9"/>
    <w:rsid w:val="33E048EA"/>
    <w:rsid w:val="34637E20"/>
    <w:rsid w:val="34755996"/>
    <w:rsid w:val="35477FFE"/>
    <w:rsid w:val="35D37671"/>
    <w:rsid w:val="35D430D7"/>
    <w:rsid w:val="35F53BE7"/>
    <w:rsid w:val="368912AF"/>
    <w:rsid w:val="36D50A7D"/>
    <w:rsid w:val="37637878"/>
    <w:rsid w:val="382E3BCB"/>
    <w:rsid w:val="38C8321F"/>
    <w:rsid w:val="39024FB8"/>
    <w:rsid w:val="392E7B71"/>
    <w:rsid w:val="39722F53"/>
    <w:rsid w:val="39911AAD"/>
    <w:rsid w:val="3A55422D"/>
    <w:rsid w:val="3A941E87"/>
    <w:rsid w:val="3BA21C27"/>
    <w:rsid w:val="3C0800C4"/>
    <w:rsid w:val="3D47775A"/>
    <w:rsid w:val="3D9B1258"/>
    <w:rsid w:val="3DA53790"/>
    <w:rsid w:val="3F576FC5"/>
    <w:rsid w:val="3F8C6972"/>
    <w:rsid w:val="400C261D"/>
    <w:rsid w:val="4011231D"/>
    <w:rsid w:val="408E0623"/>
    <w:rsid w:val="412567B9"/>
    <w:rsid w:val="416C7F27"/>
    <w:rsid w:val="41861AC7"/>
    <w:rsid w:val="421A3E8F"/>
    <w:rsid w:val="422B7F77"/>
    <w:rsid w:val="42AD55AE"/>
    <w:rsid w:val="42C83B35"/>
    <w:rsid w:val="42EE0764"/>
    <w:rsid w:val="43D634FD"/>
    <w:rsid w:val="446F4136"/>
    <w:rsid w:val="44D57AC5"/>
    <w:rsid w:val="44DA0D38"/>
    <w:rsid w:val="45035390"/>
    <w:rsid w:val="45095D02"/>
    <w:rsid w:val="45274F00"/>
    <w:rsid w:val="472A4DC9"/>
    <w:rsid w:val="48107BE7"/>
    <w:rsid w:val="48237B34"/>
    <w:rsid w:val="48B36DCD"/>
    <w:rsid w:val="48C27699"/>
    <w:rsid w:val="4A031960"/>
    <w:rsid w:val="4AF30F42"/>
    <w:rsid w:val="4B03422F"/>
    <w:rsid w:val="4BB2184A"/>
    <w:rsid w:val="4C8927DF"/>
    <w:rsid w:val="4CB265E6"/>
    <w:rsid w:val="4D685C50"/>
    <w:rsid w:val="4E4125A9"/>
    <w:rsid w:val="4E98239B"/>
    <w:rsid w:val="4EBD5117"/>
    <w:rsid w:val="4EC91D12"/>
    <w:rsid w:val="50EA35AB"/>
    <w:rsid w:val="535F2DF1"/>
    <w:rsid w:val="53F27343"/>
    <w:rsid w:val="54022D61"/>
    <w:rsid w:val="54523DA5"/>
    <w:rsid w:val="54B25B3E"/>
    <w:rsid w:val="557069C8"/>
    <w:rsid w:val="55E9048C"/>
    <w:rsid w:val="56727863"/>
    <w:rsid w:val="56DE1E7C"/>
    <w:rsid w:val="56EE735B"/>
    <w:rsid w:val="581F30FC"/>
    <w:rsid w:val="582768FD"/>
    <w:rsid w:val="587D29B1"/>
    <w:rsid w:val="598E62BE"/>
    <w:rsid w:val="59E95FE9"/>
    <w:rsid w:val="5A2606DB"/>
    <w:rsid w:val="5A7F4A16"/>
    <w:rsid w:val="5B6B7B1D"/>
    <w:rsid w:val="5BDE00E1"/>
    <w:rsid w:val="5C1000EF"/>
    <w:rsid w:val="5C635BE0"/>
    <w:rsid w:val="5C6F4283"/>
    <w:rsid w:val="5C9F5DB8"/>
    <w:rsid w:val="5CA56A42"/>
    <w:rsid w:val="5D311369"/>
    <w:rsid w:val="5D8B2F76"/>
    <w:rsid w:val="5E020716"/>
    <w:rsid w:val="5E662837"/>
    <w:rsid w:val="5F474115"/>
    <w:rsid w:val="5FBD1EB1"/>
    <w:rsid w:val="5FCD487E"/>
    <w:rsid w:val="609C1F4E"/>
    <w:rsid w:val="60AD3845"/>
    <w:rsid w:val="61206E2C"/>
    <w:rsid w:val="61D415F5"/>
    <w:rsid w:val="62B96F51"/>
    <w:rsid w:val="633F2FE2"/>
    <w:rsid w:val="637D33C6"/>
    <w:rsid w:val="64462DB2"/>
    <w:rsid w:val="672971E8"/>
    <w:rsid w:val="67CE1FB6"/>
    <w:rsid w:val="67DC060B"/>
    <w:rsid w:val="684D47F0"/>
    <w:rsid w:val="6976724E"/>
    <w:rsid w:val="69D65D97"/>
    <w:rsid w:val="6AEA5893"/>
    <w:rsid w:val="6B5F5E67"/>
    <w:rsid w:val="6BE27242"/>
    <w:rsid w:val="6BF865CB"/>
    <w:rsid w:val="6CFE18C5"/>
    <w:rsid w:val="6D224E14"/>
    <w:rsid w:val="6DED69E5"/>
    <w:rsid w:val="6F735C1B"/>
    <w:rsid w:val="6FA877F4"/>
    <w:rsid w:val="706C2B96"/>
    <w:rsid w:val="709B3C92"/>
    <w:rsid w:val="71A5473A"/>
    <w:rsid w:val="71BA5F68"/>
    <w:rsid w:val="73F9407B"/>
    <w:rsid w:val="74D53640"/>
    <w:rsid w:val="758B5DBF"/>
    <w:rsid w:val="75FD41BA"/>
    <w:rsid w:val="76D029EC"/>
    <w:rsid w:val="76DE746F"/>
    <w:rsid w:val="77642861"/>
    <w:rsid w:val="77CA576C"/>
    <w:rsid w:val="78883925"/>
    <w:rsid w:val="79160249"/>
    <w:rsid w:val="791C667F"/>
    <w:rsid w:val="795550F1"/>
    <w:rsid w:val="79871EF5"/>
    <w:rsid w:val="799C3193"/>
    <w:rsid w:val="7A5256F9"/>
    <w:rsid w:val="7A8166AB"/>
    <w:rsid w:val="7AEB64F5"/>
    <w:rsid w:val="7B6473D8"/>
    <w:rsid w:val="7B6F579C"/>
    <w:rsid w:val="7B8A2DC0"/>
    <w:rsid w:val="7CD835BC"/>
    <w:rsid w:val="7D2639B4"/>
    <w:rsid w:val="7DCB05D4"/>
    <w:rsid w:val="7DFD3F4F"/>
    <w:rsid w:val="7E6762E2"/>
    <w:rsid w:val="7F7B3ED7"/>
    <w:rsid w:val="7F8531AA"/>
    <w:rsid w:val="7FB20556"/>
    <w:rsid w:val="7F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eastAsia="仿宋_GB2312"/>
      <w:color w:val="FF0000"/>
      <w:sz w:val="28"/>
      <w:szCs w:val="20"/>
    </w:r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563C1"/>
      <w:u w:val="single"/>
    </w:rPr>
  </w:style>
  <w:style w:type="paragraph" w:customStyle="1" w:styleId="14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1</Pages>
  <Words>57</Words>
  <Characters>327</Characters>
  <Lines>2</Lines>
  <Paragraphs>1</Paragraphs>
  <TotalTime>2</TotalTime>
  <ScaleCrop>false</ScaleCrop>
  <LinksUpToDate>false</LinksUpToDate>
  <CharactersWithSpaces>383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2020-10-30T01:22:00Z</dcterms:created>
  <dc:creator>Administrator</dc:creator>
  <cp:lastModifiedBy>郁离</cp:lastModifiedBy>
  <dcterms:modified xsi:type="dcterms:W3CDTF">2021-12-08T08:01:48Z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740EDDE47E084D3D99F54D6B2B297B9B</vt:lpwstr>
  </property>
</Properties>
</file>